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fr-FR"/>
        </w:rPr>
        <w:t>MAGON Debuts With The F</w:t>
      </w:r>
      <w:r>
        <w:rPr>
          <w:sz w:val="54"/>
          <w:szCs w:val="54"/>
          <w:rtl w:val="0"/>
          <w:lang w:val="fr-FR"/>
        </w:rPr>
        <w:t>ó</w:t>
      </w:r>
      <w:r>
        <w:rPr>
          <w:sz w:val="54"/>
          <w:szCs w:val="54"/>
          <w:rtl w:val="0"/>
          <w:lang w:val="fr-FR"/>
        </w:rPr>
        <w:t>rsa Titanium Chronograph</w:t>
      </w:r>
      <w:r>
        <w:rPr>
          <w:sz w:val="54"/>
          <w:szCs w:val="5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2077239</wp:posOffset>
                </wp:positionH>
                <wp:positionV relativeFrom="line">
                  <wp:posOffset>511900</wp:posOffset>
                </wp:positionV>
                <wp:extent cx="199097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97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3.6pt;margin-top:40.3pt;width:156.8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61D836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The first creation from Magon Watches is the F</w:t>
      </w:r>
      <w:r>
        <w:rPr>
          <w:rtl w:val="0"/>
          <w:lang w:val="fr-FR"/>
        </w:rPr>
        <w:t>ó</w:t>
      </w:r>
      <w:r>
        <w:rPr>
          <w:rtl w:val="0"/>
          <w:lang w:val="fr-FR"/>
        </w:rPr>
        <w:t xml:space="preserve">rsa Titanium Chronograph. A Swiss made mechanical, column-wheel chronograph, housed in a grade 5 titanium tonneau case.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There are two versions available. One in polished titanium and one in matt black, which is  sandblasted DLC (Diamond Like Coating).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There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s a very good reason there aren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t many tonneau-shaped watches on the market and even less tonneau chronographs and we knew the case was always going to be more difficult (than a conventional case) to produce and indeed we met with many technical hurdles. Compromises were never made and while this meant longer development times and more expense, the efforts paid dividends.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 xml:space="preserve">Developed over 3 years and using over 25 years experience at the highest level of the Swiss watch industry, Stephen McGonigle, of McGonigle Watches brings an exceptional timepiece to the market.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“</w:t>
      </w:r>
      <w:r>
        <w:rPr>
          <w:rtl w:val="0"/>
          <w:lang w:val="fr-FR"/>
        </w:rPr>
        <w:t>The best timepieces are inspired but they shouldn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t necessarily be defined by their inspiration</w:t>
      </w:r>
      <w:r>
        <w:rPr>
          <w:rtl w:val="0"/>
          <w:lang w:val="fr-FR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d2ccd2"/>
          <w:sz w:val="34"/>
          <w:szCs w:val="34"/>
          <w:rtl w:val="0"/>
          <w14:textFill>
            <w14:solidFill>
              <w14:srgbClr w14:val="D2CDD2"/>
            </w14:solidFill>
          </w14:textFill>
        </w:rPr>
      </w:pPr>
    </w:p>
    <w:p>
      <w:pPr>
        <w:pStyle w:val="Body"/>
        <w:jc w:val="center"/>
      </w:pPr>
      <w:r>
        <w:rPr>
          <w:rtl w:val="0"/>
          <w:lang w:val="fr-FR"/>
        </w:rPr>
        <w:t xml:space="preserve">The first creation, was inspired by a lifelong passion for the sport of rugby. The design touches throughout the timepiece are very subtle, making this a very special piece, not just for sports fans but for anyone interested in unique design and quality Swiss engineered timepieces. 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“</w:t>
      </w:r>
      <w:r>
        <w:rPr>
          <w:b w:val="1"/>
          <w:bCs w:val="1"/>
          <w:rtl w:val="0"/>
          <w:lang w:val="fr-FR"/>
        </w:rPr>
        <w:t>THIS IS A RUGBY WATCH. THIS IS NOT A RUGBY WATCH</w:t>
      </w:r>
      <w:r>
        <w:rPr>
          <w:b w:val="1"/>
          <w:bCs w:val="1"/>
          <w:rtl w:val="0"/>
          <w:lang w:val="fr-FR"/>
        </w:rPr>
        <w:t>”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 xml:space="preserve">That said, the debut creation from MAGON truly is the first timepiece </w:t>
      </w:r>
      <w:r>
        <w:rPr>
          <w:rtl w:val="0"/>
          <w:lang w:val="fr-FR"/>
        </w:rPr>
        <w:t>‘</w:t>
      </w:r>
      <w:r>
        <w:rPr>
          <w:rtl w:val="0"/>
          <w:lang w:val="fr-FR"/>
        </w:rPr>
        <w:t>inspired</w:t>
      </w:r>
      <w:r>
        <w:rPr>
          <w:rtl w:val="0"/>
          <w:lang w:val="fr-FR"/>
        </w:rPr>
        <w:t xml:space="preserve">’ </w:t>
      </w:r>
      <w:r>
        <w:rPr>
          <w:rtl w:val="0"/>
          <w:lang w:val="fr-FR"/>
        </w:rPr>
        <w:t>by rugby and while there are many pretenders to the throne, the F</w:t>
      </w:r>
      <w:r>
        <w:rPr>
          <w:rtl w:val="0"/>
          <w:lang w:val="fr-FR"/>
        </w:rPr>
        <w:t>ó</w:t>
      </w:r>
      <w:r>
        <w:rPr>
          <w:rtl w:val="0"/>
          <w:lang w:val="fr-FR"/>
        </w:rPr>
        <w:t>rsa is an original in every respect.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Loads of information on the development and lots of high resolution images to be found on the website.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Retail Prices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fr-FR"/>
        </w:rPr>
        <w:t>MAGON F</w:t>
      </w:r>
      <w:r>
        <w:rPr>
          <w:rtl w:val="0"/>
          <w:lang w:val="fr-FR"/>
        </w:rPr>
        <w:t>ó</w:t>
      </w:r>
      <w:r>
        <w:rPr>
          <w:rtl w:val="0"/>
          <w:lang w:val="fr-FR"/>
        </w:rPr>
        <w:t>rsa Titanium</w:t>
        <w:tab/>
        <w:t>-</w:t>
        <w:tab/>
      </w:r>
      <w:r>
        <w:rPr>
          <w:rtl w:val="0"/>
          <w:lang w:val="fr-FR"/>
        </w:rPr>
        <w:t>€</w:t>
      </w:r>
      <w:r>
        <w:rPr>
          <w:rtl w:val="0"/>
          <w:lang w:val="fr-FR"/>
        </w:rPr>
        <w:t>9,800 (ex. VAT)</w:t>
      </w:r>
    </w:p>
    <w:p>
      <w:pPr>
        <w:pStyle w:val="Body"/>
        <w:jc w:val="center"/>
      </w:pPr>
      <w:r>
        <w:rPr>
          <w:rtl w:val="0"/>
          <w:lang w:val="fr-FR"/>
        </w:rPr>
        <w:t>MAGON F</w:t>
      </w:r>
      <w:r>
        <w:rPr>
          <w:rtl w:val="0"/>
          <w:lang w:val="fr-FR"/>
        </w:rPr>
        <w:t>ó</w:t>
      </w:r>
      <w:r>
        <w:rPr>
          <w:rtl w:val="0"/>
          <w:lang w:val="fr-FR"/>
        </w:rPr>
        <w:t>rsa Black</w:t>
        <w:tab/>
        <w:t>-</w:t>
        <w:tab/>
      </w:r>
      <w:r>
        <w:rPr>
          <w:rtl w:val="0"/>
          <w:lang w:val="fr-FR"/>
        </w:rPr>
        <w:t>€</w:t>
      </w:r>
      <w:r>
        <w:rPr>
          <w:rtl w:val="0"/>
          <w:lang w:val="fr-FR"/>
        </w:rPr>
        <w:t>11,800(ex. VAT)</w:t>
      </w:r>
    </w:p>
    <w:p>
      <w:pPr>
        <w:pStyle w:val="Body"/>
        <w:jc w:val="center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